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288</w:t>
      </w:r>
    </w:p>
    <w:p>
      <w:r>
        <w:t>Bundesgericht (BGE), 1979-11-30, FR</w:t>
      </w:r>
    </w:p>
    <w:p>
      <w:r>
        <w:rPr>
          <w:b/>
        </w:rPr>
        <w:t xml:space="preserve">Quelle: </w:t>
      </w:r>
      <w:r>
        <w:t>https://mcp.opencaselaw.ch/entscheid/bge_105 V 288</w:t>
      </w:r>
    </w:p>
    <w:p>
      <w:r>
        <w:t>FR: ATF 105 V 288</w:t>
      </w:r>
    </w:p>
    <w:p>
      <w:r>
        <w:t>IT: DTF 105 V 288</w:t>
      </w:r>
    </w:p>
    <w:p>
      <w:pPr>
        <w:pStyle w:val="Heading2"/>
      </w:pPr>
      <w:r>
        <w:t>Regeste</w:t>
      </w:r>
    </w:p>
    <w:p>
      <w:r>
        <w:t>Regeste Art. 26 KUVG. - Berechnung der Überentschädigung einer IV-Renten-Bezügerin, die früher eine AHV-Rente erhielt und deren invalidierendes Leiden die Ausübung einer Erwerbstätigkeit verhindert. - Zur Weigerung einer Krankenkasse, das Taggeld auszurichten, wenn es (im Hinblick auf Art. 20 Abs. 2 AHVG in der seit dem 1. Januar 1979 geltenden Fassung) mit Leistungen der Invalidenversicherung zusammenfällt.</w:t>
      </w:r>
    </w:p>
    <w:p>
      <w:pPr>
        <w:pStyle w:val="Heading2"/>
      </w:pPr>
      <w:r>
        <w:t>Erwägungen</w:t>
      </w:r>
    </w:p>
    <w:p>
      <w:r>
        <w:rPr>
          <w:b/>
        </w:rPr>
        <w:t>E. 1</w:t>
      </w:r>
    </w:p>
    <w:p>
      <w:r>
        <w:t>Bien qu'en principe le juge des assurances se place, pour statuer, à la date à laquelle la décision administrative en cause a été rendue, il se justifie en l'occurrence de faire exception à la règle, par économie de procédure, et d'examiner les droits de l'assurée pour toute la période s'étendant du 1er novembre 1977, date à partir de laquelle une rente entière de l'assurance-invalidité lui a été accordée rétroactivement, jusqu'à son décès, le 24 octobre 1978. Dans ces conditions, il n'est pas indispensable de décider si la caisse était fondée à limiter ses versements à 10 fr. par jour, pour éviter un hypothétique enrichissement illégitime, depuis le 1er décembre 1977. Car le paiement de l'indemnité non réduite ne pouvait pas conduire à une surindemnisation, pour les raisons qui vont être exposées ci-après.</w:t>
      </w:r>
    </w:p>
    <w:p>
      <w:r>
        <w:rPr>
          <w:b/>
        </w:rPr>
        <w:t>E. 2</w:t>
      </w:r>
    </w:p>
    <w:p>
      <w:r>
        <w:t>Il est communément admis aujourd'hui (voir p. ex. A. MAURER, Cumul et subrogation dans l'assurance sociale et privée, Berne 1976, p. 6, 49/50 - citant le message du Conseil fédéral pour l'introduction de l'AVS -, 81, 97) que la victime d'un événement dont les conséquences sont prises en charge par une assurance sociale (et cela vaut aussi pour les survivants de cette victime) ne doit pas se trouver, après la survenance dudit événement, dans une situation économique meilleure qu'elle ne l'était auparavant. Il s'agit en général d'éviter que ne se produise une surindemnisation choquante. En l'état actuel de la BGE 105 V 288 S. 292 législation, une telle surindemnisation n'intervient pas forcément lorsqu'une veuve, qui avant de devenir invalide et de bénéficier d'une rente d'invalidité touchait une rente de survivant de l'AVS et retirait en outre un gain de l'exercice d'une activité lucrative, reçoit à côté de sa rente de l'assurance-invalidité des indemnités d'une caisse-maladie destinées à compenser la perte de revenu subie du fait de l'affection invalidante. A moins que, ajoutées à la rente de l'assurance-invalidité, les prestations de la caisse-maladie ne dépassent le total de la rente de veuve précédemment accordée et de la perte de salaire encourue. Dans cette éventualité, mais alors seulement, on peut parler de surindemnisation choquante et estimer qu'une réduction des indemnités journalières de l'assurance-maladie se justifie. Cette idée se retrouve du reste dans la réglementation des art. 66quater RAVS et 39bis RAI, dans la mesure où le montant que le conjoint de l'assuré a touché, avant l'octroi d'une rente de vieillesse ou d'invalidité pour couple, à titre de rente d'invalidité ou de vieillesse, n'est pas pris en compte pour la réduction des prestations prévue aux art. 48 LAVS et 45 LAI ( art. 66quater al. 3 let. b RAVS , 39bis al. 3 let. b RAI); ou encore dans la mesure où, dans les autres cas de remplacement d'une rente simple par une rente pour couple, on ne tient compte que du montant de cette prestation qui correspond à la rente calculée sur la base des seules cotisations de l'assuré (encore que cette solution des art. 66quater al. 4 RAVS et 39bis al. 4 RAI ne soit pas pleinement satisfaisante, comme l'a déclaré la Cour de céans dans son arrêt ATF 105 V 218 dans la cause R.). Or, dans l'arrêt ATF 102 V 8 , le Tribunal fédéral des assurances a appliqué l' art. 39bis al. 3 let. b RAI à l'assurance-maladie, domaine dans lequel les principes à la base de cette réglementation ne peuvent ainsi qu'être valables eux aussi. Au demeurant, le tribunal a rappelé (RJAM 1978 No 314, p. 39, plus spécialement consid. 3b, pp. 46-47) que des circonstances spéciales peuvent justifier, dans le cadre de l' art. 26 LAMA , l'imputation partielle seulement d'une rente de l'assurance-invalidité. On se trouve sans doute en présence de telles circonstances, lorsqu'une rente d'invalidité succède à une rente de veuve. S'agissant d'une assurée ayant la charge d'un enfant donnant droit à une rente complémentaire, cette dernière doit alors être prise en compte également, comme la rente d'orphelin que cette prestation a remplacée. BGE 105 V 288 S. 293</w:t>
      </w:r>
    </w:p>
    <w:p>
      <w:r>
        <w:rPr>
          <w:b/>
        </w:rPr>
        <w:t>E. 3</w:t>
      </w:r>
    </w:p>
    <w:p>
      <w:r>
        <w:t>Appliqués au cas d'espèce, ces principes conduisent à constater que l'assurée a encouru de son vivant, pendant la période prise en considération, une perte de gain de quelque 15'600 fr. (1300 fr. x 12) au moins. La différence entre le montant des rentes de survivant (1248 fr.) et celui de la rente d'invalidité (avec la rente complémentaire; 1456 fr.) est de 208 fr. par mois. Le préjudice économique subi entre le 1er novembre 1977 et le 24 octobre 1978 s'est donc élevé en tout cas à 13'100 fr. en chiffre rond. Le versement pendant une année de l'indemnité de 30 fr. par jour ne pouvait pas occasionner une surindemnisation. Il sied donc de liquider l'affaire en invitant la caisse recourante à verser à qui de droit le solde des prestations dues, sous réserve de l'épuisement éventuel de ces dernières ( art. 12bis al. 3 et 4 LAMA ).</w:t>
      </w:r>
    </w:p>
    <w:p>
      <w:r>
        <w:rPr>
          <w:b/>
        </w:rPr>
        <w:t>E. 4</w:t>
      </w:r>
    </w:p>
    <w:p>
      <w:r>
        <w:t>Bien qu'il ne fût pas applicable en l'occurrence, il n'est peut-être pas inutile d'attirer l'attention de la recourante sur l' art. 20 al. 2 LAVS , dans sa teneur en vigueur depuis le 1er janvier 1979, qui dispose: "Les créances découlant de la présente loi et des lois sur l'assurance-invalidité, sur les allocations pour perte de gain en faveur des personnes astreintes au service militaire ou à la protection civile, sur les allocations familiales aux travailleurs agricoles et aux petits paysans, les créances en restitution des prestations complémentaires à l'assurance-vieillesse, survivants et invalidité, ainsi que les rentes et indemnités journalières de l'assurance-accidents obligatoire, de l'assurance militaire, de l'assurance-chômage et de l'assurance-maladie, peuvent être compensées avec des prestations échues." Dans son message du 7 juillet 1976 concernant la 9e revision de l'AVS, le Conseil fédéral relevait ce qui suit, à propos de cette disposition (ch. 6, 61): "Jusqu'à présent, les prestations échues de l'AVS/AI ne pouvaient être compensées qu'avec des créances de la LAVS et de la LAI ainsi que du régime des allocations pour perte de gain, de la LFA et de la LPG. Afin d'arriver à une meilleure coordination entre les diverses branches des assurances sociales..., on a créé une base légale pour permettre la compensation des créances en restitution de rentes et indemnités journalières de l'assurance-accidents obligatoire, de l'assurance-chômage et de l'assurance-maladie avec des prestations échues de l'AVS/AI. C'est surtout dans le domaine de l'assurance-accidents obligatoire et de l'assurance militaire qu'il peut y avoir matière à réduction rétroactive de rentes pour éviter des surindemnisations selon les art. 48 LAVS et 45 LAI, parce que l'AI paie, rétroactivement, des sommes souvent considérables." BGE 105 V 288 S. 294 Cette nouvelle règle légale confère désormais aux caisses reconnues qui en font usage la garantie qu'elles recevront directement de l'administration de l'AVS/AI les prestations allouées rétroactivement par ces institutions qui pourraient conduire à une surindemnisation prohibée par la loi. Dans la mesure par conséquent où un assuré s'est annoncé à l'assurance-invalidité et ne met pas en péril ses droits éventuels par sa passivité, une caisse ne devrait guère avoir de raison de refuser d'allouer la totalité de l'indemnité journalière souscrite pour le motif qu'il risquerait d'en résulter une surindemnisation, si une rente de l'assurance-invalidité venait à être accordée.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